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BAC" w:rsidRDefault="00DE6B8D">
      <w:r>
        <w:t>Anmerkungen zu Bibelübersetzungen</w:t>
      </w:r>
    </w:p>
    <w:p w:rsidR="001A5E1F" w:rsidRPr="001A5E1F" w:rsidRDefault="001A5E1F">
      <w:pPr>
        <w:rPr>
          <w:i/>
        </w:rPr>
      </w:pPr>
      <w:r>
        <w:rPr>
          <w:i/>
        </w:rPr>
        <w:t>Achim Behrens</w:t>
      </w:r>
    </w:p>
    <w:p w:rsidR="00DE6B8D" w:rsidRDefault="00DE6B8D"/>
    <w:p w:rsidR="00DE6B8D" w:rsidRDefault="00DE6B8D">
      <w:r>
        <w:t>Wer sich ans Bibellesen macht, muss sich für eine Übersetzung entscheiden. Für den gottesdienstlichen Gebrauch ist in den evangelischen Kirchen in Deutschland in der Regel die Lutherübersetzung in der Revision von 1984 der Standard (eine neue Revision steht unmittelbar vor dem Abschluss). In der katholischen Kirche wird dagegen die sog. Einheitsübersetzung benutzt. Längst hat nicht mehr jeder einen leichten Zugang zum Deutsch der Lutherbibel. Daher gibt es eine Fülle moderner Übersetzungen, wie die Gute Nachricht (die über Jahrzehnte immer verbessert wurde und heute eine sehr brauchbare Übersetzung darstellt), die Hoffnung für alle oder ganz neu die Basisbibel. Daneben gibt es aber auch die Elberfelder Übersetzung, die sehr „wörtlich“ die Ursprache wiedergeben möchte oder die Zürcher Bibel, die ähnlich wie die Lutherbibel immer wieder Revisionen erfahren hat.</w:t>
      </w:r>
    </w:p>
    <w:p w:rsidR="00DE6B8D" w:rsidRDefault="00DE6B8D"/>
    <w:p w:rsidR="00DE6B8D" w:rsidRDefault="00DE6B8D">
      <w:r>
        <w:t xml:space="preserve">Grundsätzlich gilt: </w:t>
      </w:r>
      <w:r>
        <w:rPr>
          <w:i/>
        </w:rPr>
        <w:t>Jede Übersetzung ist eine Interpretation.</w:t>
      </w:r>
      <w:r>
        <w:t xml:space="preserve"> Das geht nicht anders, denn beim Übertragen eines Wortes aus dem Hebräischen oder Griechischen ins Deutsche muss man in der Regel zwischen mehreren Möglichkeiten wählen. Übersetzungen transportieren immer auch die Weltsicht und die Theologie der Übersetzerinnen und Übersetzer. Wenn also – wie es immer wieder vorkommt – eine neue Übersetzung für sich in Anspruch nimmt, nach all den Irrtürmern der letzten 500 Jahre, könnten die Menschen nun endlich die Bibel lesen, wie sie „wirklich“ gemeint war, dann ist das notgedrungen eine (Selbst-)Täuschung. Jede Übersetzung ist eine Interpretation – wenn man das weiß, kann man mehrere Übersetzungen benutzen – je nach dem, was man möchte. Die Lutherübersetzung hat die deutsche Sprache in den letzten 500 Jahren entscheidend geprägt und sie transportiert lutherische Theologie. Es lohnt sich in jedem Fall</w:t>
      </w:r>
      <w:r w:rsidR="002C65BC">
        <w:t>, sich mit dieser Bibel Mühe zu geben und sich darin einzulesen. Aber eine ganze Reihe von Menschen finden – gerade wenn sie die Bibel zum ersten Mal lesen – modernere Übersetzungen verständlicher. Hier empfehle ich die Gute Nachricht oder die Basis Bibel, bei der allerdings erst das Neue Testament und die Psalmen fertig sind. Die Basisbibel ist zudem extra für den Gebrauch als App konzipiert mit einer Fülle von „Links“, die man einfach antippen kann – das Buch ist da nur noch eine „Notlösung“, aber schließlich sollen auch die zum Bibellesen ermuntert werden, die heute schon ihre Tageszeitung als „Download“ bekommen. Viellicht sind wir auf dem Weg zur i-Bibel?!</w:t>
      </w:r>
    </w:p>
    <w:p w:rsidR="002C65BC" w:rsidRDefault="002C65BC"/>
    <w:p w:rsidR="002C65BC" w:rsidRDefault="002C65BC">
      <w:pPr>
        <w:sectPr w:rsidR="002C65BC">
          <w:pgSz w:w="11900" w:h="16840"/>
          <w:pgMar w:top="1417" w:right="1417" w:bottom="1134" w:left="1417" w:header="708" w:footer="708" w:gutter="0"/>
          <w:cols w:space="708"/>
        </w:sectPr>
      </w:pPr>
      <w:r>
        <w:t xml:space="preserve">Die folgende Tabelle soll eine kurze Übersicht bieten und stammt aus </w:t>
      </w:r>
      <w:r>
        <w:rPr>
          <w:i/>
        </w:rPr>
        <w:t xml:space="preserve">Melanie Köhlmoos,, </w:t>
      </w:r>
      <w:r>
        <w:t>Altes Testament, Tübingen und Basel 2011, S. 22f.</w:t>
      </w:r>
    </w:p>
    <w:p w:rsidR="002C65BC" w:rsidRDefault="002C65BC">
      <w:bookmarkStart w:id="0" w:name="_GoBack"/>
      <w:bookmarkEnd w:id="0"/>
    </w:p>
    <w:tbl>
      <w:tblPr>
        <w:tblStyle w:val="Tabellenraster"/>
        <w:tblW w:w="0" w:type="auto"/>
        <w:tblLayout w:type="fixed"/>
        <w:tblLook w:val="04A0"/>
      </w:tblPr>
      <w:tblGrid>
        <w:gridCol w:w="2463"/>
        <w:gridCol w:w="2463"/>
        <w:gridCol w:w="2463"/>
        <w:gridCol w:w="2463"/>
        <w:gridCol w:w="2464"/>
        <w:gridCol w:w="2464"/>
      </w:tblGrid>
      <w:tr w:rsidR="002C65BC" w:rsidRPr="001A5E1F">
        <w:trPr>
          <w:trHeight w:val="360"/>
        </w:trPr>
        <w:tc>
          <w:tcPr>
            <w:tcW w:w="2463" w:type="dxa"/>
            <w:tcBorders>
              <w:bottom w:val="single" w:sz="4" w:space="0" w:color="auto"/>
            </w:tcBorders>
            <w:shd w:val="pct20" w:color="auto" w:fill="auto"/>
          </w:tcPr>
          <w:p w:rsidR="002C65BC" w:rsidRPr="001A5E1F" w:rsidRDefault="002C65BC">
            <w:pPr>
              <w:rPr>
                <w:b/>
                <w:sz w:val="24"/>
              </w:rPr>
            </w:pPr>
            <w:r w:rsidRPr="001A5E1F">
              <w:rPr>
                <w:b/>
                <w:sz w:val="24"/>
              </w:rPr>
              <w:t>Übersetzung</w:t>
            </w:r>
          </w:p>
        </w:tc>
        <w:tc>
          <w:tcPr>
            <w:tcW w:w="2463" w:type="dxa"/>
            <w:shd w:val="pct20" w:color="auto" w:fill="auto"/>
          </w:tcPr>
          <w:p w:rsidR="002C65BC" w:rsidRPr="001A5E1F" w:rsidRDefault="002C65BC">
            <w:pPr>
              <w:rPr>
                <w:b/>
                <w:sz w:val="24"/>
              </w:rPr>
            </w:pPr>
            <w:r w:rsidRPr="001A5E1F">
              <w:rPr>
                <w:b/>
                <w:sz w:val="24"/>
              </w:rPr>
              <w:t>Eher „wörtlich“</w:t>
            </w:r>
          </w:p>
        </w:tc>
        <w:tc>
          <w:tcPr>
            <w:tcW w:w="2463" w:type="dxa"/>
            <w:shd w:val="pct20" w:color="auto" w:fill="auto"/>
          </w:tcPr>
          <w:p w:rsidR="002C65BC" w:rsidRPr="001A5E1F" w:rsidRDefault="002C65BC">
            <w:pPr>
              <w:rPr>
                <w:b/>
                <w:sz w:val="24"/>
              </w:rPr>
            </w:pPr>
            <w:r w:rsidRPr="001A5E1F">
              <w:rPr>
                <w:b/>
                <w:sz w:val="24"/>
              </w:rPr>
              <w:t>eher „frei“</w:t>
            </w:r>
          </w:p>
        </w:tc>
        <w:tc>
          <w:tcPr>
            <w:tcW w:w="2463" w:type="dxa"/>
            <w:shd w:val="pct20" w:color="auto" w:fill="auto"/>
          </w:tcPr>
          <w:p w:rsidR="002C65BC" w:rsidRPr="001A5E1F" w:rsidRDefault="002C65BC">
            <w:pPr>
              <w:rPr>
                <w:b/>
                <w:sz w:val="24"/>
              </w:rPr>
            </w:pPr>
            <w:r w:rsidRPr="001A5E1F">
              <w:rPr>
                <w:b/>
                <w:sz w:val="24"/>
              </w:rPr>
              <w:t>Konkordant</w:t>
            </w:r>
          </w:p>
        </w:tc>
        <w:tc>
          <w:tcPr>
            <w:tcW w:w="2464" w:type="dxa"/>
            <w:shd w:val="pct20" w:color="auto" w:fill="auto"/>
          </w:tcPr>
          <w:p w:rsidR="002C65BC" w:rsidRPr="001A5E1F" w:rsidRDefault="002C65BC">
            <w:pPr>
              <w:rPr>
                <w:b/>
                <w:sz w:val="24"/>
              </w:rPr>
            </w:pPr>
            <w:r w:rsidRPr="001A5E1F">
              <w:rPr>
                <w:b/>
                <w:sz w:val="24"/>
              </w:rPr>
              <w:t>Sprachniveau</w:t>
            </w:r>
          </w:p>
        </w:tc>
        <w:tc>
          <w:tcPr>
            <w:tcW w:w="2464" w:type="dxa"/>
            <w:shd w:val="pct20" w:color="auto" w:fill="auto"/>
          </w:tcPr>
          <w:p w:rsidR="002C65BC" w:rsidRPr="001A5E1F" w:rsidRDefault="002C65BC">
            <w:pPr>
              <w:rPr>
                <w:b/>
                <w:sz w:val="24"/>
              </w:rPr>
            </w:pPr>
            <w:r w:rsidRPr="001A5E1F">
              <w:rPr>
                <w:b/>
                <w:sz w:val="24"/>
              </w:rPr>
              <w:t>Verständlichkeit</w:t>
            </w:r>
          </w:p>
        </w:tc>
      </w:tr>
      <w:tr w:rsidR="002C65BC" w:rsidRPr="002C65BC">
        <w:trPr>
          <w:trHeight w:val="360"/>
        </w:trPr>
        <w:tc>
          <w:tcPr>
            <w:tcW w:w="2463" w:type="dxa"/>
            <w:shd w:val="pct20" w:color="auto" w:fill="auto"/>
          </w:tcPr>
          <w:p w:rsidR="002C65BC" w:rsidRPr="002C65BC" w:rsidRDefault="002C65BC">
            <w:pPr>
              <w:rPr>
                <w:sz w:val="24"/>
              </w:rPr>
            </w:pPr>
            <w:r w:rsidRPr="002C65BC">
              <w:rPr>
                <w:sz w:val="24"/>
              </w:rPr>
              <w:t>Luther</w:t>
            </w:r>
          </w:p>
        </w:tc>
        <w:tc>
          <w:tcPr>
            <w:tcW w:w="2463" w:type="dxa"/>
          </w:tcPr>
          <w:p w:rsidR="002C65BC" w:rsidRPr="002C65BC" w:rsidRDefault="002C65BC">
            <w:pPr>
              <w:rPr>
                <w:sz w:val="24"/>
              </w:rPr>
            </w:pPr>
            <w:r>
              <w:rPr>
                <w:sz w:val="24"/>
              </w:rPr>
              <w:t>Tendenziell weniger</w:t>
            </w:r>
          </w:p>
        </w:tc>
        <w:tc>
          <w:tcPr>
            <w:tcW w:w="2463" w:type="dxa"/>
          </w:tcPr>
          <w:p w:rsidR="002C65BC" w:rsidRPr="002C65BC" w:rsidRDefault="002C65BC">
            <w:pPr>
              <w:rPr>
                <w:sz w:val="24"/>
              </w:rPr>
            </w:pPr>
            <w:r>
              <w:rPr>
                <w:sz w:val="24"/>
              </w:rPr>
              <w:t>Tendenziell mehr</w:t>
            </w:r>
          </w:p>
        </w:tc>
        <w:tc>
          <w:tcPr>
            <w:tcW w:w="2463" w:type="dxa"/>
          </w:tcPr>
          <w:p w:rsidR="002C65BC" w:rsidRPr="002C65BC" w:rsidRDefault="002C65BC">
            <w:pPr>
              <w:rPr>
                <w:sz w:val="24"/>
              </w:rPr>
            </w:pPr>
            <w:r>
              <w:rPr>
                <w:sz w:val="24"/>
              </w:rPr>
              <w:t>Mäßig</w:t>
            </w:r>
          </w:p>
        </w:tc>
        <w:tc>
          <w:tcPr>
            <w:tcW w:w="2464" w:type="dxa"/>
          </w:tcPr>
          <w:p w:rsidR="002C65BC" w:rsidRPr="002C65BC" w:rsidRDefault="002C65BC">
            <w:pPr>
              <w:rPr>
                <w:sz w:val="24"/>
              </w:rPr>
            </w:pPr>
            <w:r>
              <w:rPr>
                <w:sz w:val="24"/>
              </w:rPr>
              <w:t>Gehobene Sprache</w:t>
            </w:r>
          </w:p>
        </w:tc>
        <w:tc>
          <w:tcPr>
            <w:tcW w:w="2464" w:type="dxa"/>
          </w:tcPr>
          <w:p w:rsidR="002C65BC" w:rsidRPr="002C65BC" w:rsidRDefault="002C65BC">
            <w:pPr>
              <w:rPr>
                <w:sz w:val="24"/>
              </w:rPr>
            </w:pPr>
            <w:r>
              <w:rPr>
                <w:sz w:val="24"/>
              </w:rPr>
              <w:t>++</w:t>
            </w:r>
          </w:p>
        </w:tc>
      </w:tr>
      <w:tr w:rsidR="002C65BC" w:rsidRPr="002C65BC">
        <w:trPr>
          <w:trHeight w:val="360"/>
        </w:trPr>
        <w:tc>
          <w:tcPr>
            <w:tcW w:w="2463" w:type="dxa"/>
            <w:shd w:val="pct20" w:color="auto" w:fill="auto"/>
          </w:tcPr>
          <w:p w:rsidR="002C65BC" w:rsidRPr="002C65BC" w:rsidRDefault="001A5E1F">
            <w:pPr>
              <w:rPr>
                <w:sz w:val="24"/>
              </w:rPr>
            </w:pPr>
            <w:r>
              <w:rPr>
                <w:sz w:val="24"/>
              </w:rPr>
              <w:t>Zürcher Bibel</w:t>
            </w:r>
          </w:p>
        </w:tc>
        <w:tc>
          <w:tcPr>
            <w:tcW w:w="2463" w:type="dxa"/>
          </w:tcPr>
          <w:p w:rsidR="002C65BC" w:rsidRPr="002C65BC" w:rsidRDefault="001A5E1F">
            <w:pPr>
              <w:rPr>
                <w:sz w:val="24"/>
              </w:rPr>
            </w:pPr>
            <w:r>
              <w:rPr>
                <w:sz w:val="24"/>
              </w:rPr>
              <w:t>Tendenziell mehr</w:t>
            </w:r>
          </w:p>
        </w:tc>
        <w:tc>
          <w:tcPr>
            <w:tcW w:w="2463" w:type="dxa"/>
          </w:tcPr>
          <w:p w:rsidR="002C65BC" w:rsidRPr="002C65BC" w:rsidRDefault="001A5E1F">
            <w:pPr>
              <w:rPr>
                <w:sz w:val="24"/>
              </w:rPr>
            </w:pPr>
            <w:r>
              <w:rPr>
                <w:sz w:val="24"/>
              </w:rPr>
              <w:t xml:space="preserve">Tendenziell weniger  </w:t>
            </w:r>
          </w:p>
        </w:tc>
        <w:tc>
          <w:tcPr>
            <w:tcW w:w="2463" w:type="dxa"/>
          </w:tcPr>
          <w:p w:rsidR="002C65BC" w:rsidRPr="002C65BC" w:rsidRDefault="001A5E1F">
            <w:pPr>
              <w:rPr>
                <w:sz w:val="24"/>
              </w:rPr>
            </w:pPr>
            <w:r>
              <w:rPr>
                <w:sz w:val="24"/>
              </w:rPr>
              <w:t>Stark</w:t>
            </w:r>
          </w:p>
        </w:tc>
        <w:tc>
          <w:tcPr>
            <w:tcW w:w="2464" w:type="dxa"/>
          </w:tcPr>
          <w:p w:rsidR="002C65BC" w:rsidRPr="002C65BC" w:rsidRDefault="001A5E1F">
            <w:pPr>
              <w:rPr>
                <w:sz w:val="24"/>
              </w:rPr>
            </w:pPr>
            <w:r>
              <w:rPr>
                <w:sz w:val="24"/>
              </w:rPr>
              <w:t>Gehobene Sprache</w:t>
            </w:r>
          </w:p>
        </w:tc>
        <w:tc>
          <w:tcPr>
            <w:tcW w:w="2464" w:type="dxa"/>
          </w:tcPr>
          <w:p w:rsidR="002C65BC" w:rsidRPr="002C65BC" w:rsidRDefault="001A5E1F">
            <w:pPr>
              <w:rPr>
                <w:sz w:val="24"/>
              </w:rPr>
            </w:pPr>
            <w:r>
              <w:rPr>
                <w:sz w:val="24"/>
              </w:rPr>
              <w:t>+++</w:t>
            </w:r>
          </w:p>
        </w:tc>
      </w:tr>
      <w:tr w:rsidR="002C65BC" w:rsidRPr="002C65BC">
        <w:trPr>
          <w:trHeight w:val="360"/>
        </w:trPr>
        <w:tc>
          <w:tcPr>
            <w:tcW w:w="2463" w:type="dxa"/>
            <w:shd w:val="pct20" w:color="auto" w:fill="auto"/>
          </w:tcPr>
          <w:p w:rsidR="002C65BC" w:rsidRPr="002C65BC" w:rsidRDefault="001A5E1F">
            <w:pPr>
              <w:rPr>
                <w:sz w:val="24"/>
              </w:rPr>
            </w:pPr>
            <w:r>
              <w:rPr>
                <w:sz w:val="24"/>
              </w:rPr>
              <w:t>Einheitsübersetzung</w:t>
            </w:r>
          </w:p>
        </w:tc>
        <w:tc>
          <w:tcPr>
            <w:tcW w:w="2463" w:type="dxa"/>
          </w:tcPr>
          <w:p w:rsidR="002C65BC" w:rsidRPr="002C65BC" w:rsidRDefault="001A5E1F">
            <w:pPr>
              <w:rPr>
                <w:sz w:val="24"/>
              </w:rPr>
            </w:pPr>
            <w:r>
              <w:rPr>
                <w:sz w:val="24"/>
              </w:rPr>
              <w:t>Tendenziell mehr</w:t>
            </w:r>
          </w:p>
        </w:tc>
        <w:tc>
          <w:tcPr>
            <w:tcW w:w="2463" w:type="dxa"/>
          </w:tcPr>
          <w:p w:rsidR="002C65BC" w:rsidRPr="002C65BC" w:rsidRDefault="001A5E1F">
            <w:pPr>
              <w:rPr>
                <w:sz w:val="24"/>
              </w:rPr>
            </w:pPr>
            <w:r>
              <w:rPr>
                <w:sz w:val="24"/>
              </w:rPr>
              <w:t>Tendenziell weniger</w:t>
            </w:r>
          </w:p>
        </w:tc>
        <w:tc>
          <w:tcPr>
            <w:tcW w:w="2463" w:type="dxa"/>
          </w:tcPr>
          <w:p w:rsidR="002C65BC" w:rsidRPr="002C65BC" w:rsidRDefault="001A5E1F">
            <w:pPr>
              <w:rPr>
                <w:sz w:val="24"/>
              </w:rPr>
            </w:pPr>
            <w:r>
              <w:rPr>
                <w:sz w:val="24"/>
              </w:rPr>
              <w:t>Mäßig</w:t>
            </w:r>
          </w:p>
        </w:tc>
        <w:tc>
          <w:tcPr>
            <w:tcW w:w="2464" w:type="dxa"/>
          </w:tcPr>
          <w:p w:rsidR="002C65BC" w:rsidRPr="002C65BC" w:rsidRDefault="001A5E1F">
            <w:pPr>
              <w:rPr>
                <w:sz w:val="24"/>
              </w:rPr>
            </w:pPr>
            <w:r>
              <w:rPr>
                <w:sz w:val="24"/>
              </w:rPr>
              <w:t>Gehobene Sprache</w:t>
            </w:r>
          </w:p>
        </w:tc>
        <w:tc>
          <w:tcPr>
            <w:tcW w:w="2464" w:type="dxa"/>
          </w:tcPr>
          <w:p w:rsidR="002C65BC" w:rsidRPr="002C65BC" w:rsidRDefault="001A5E1F">
            <w:pPr>
              <w:rPr>
                <w:sz w:val="24"/>
              </w:rPr>
            </w:pPr>
            <w:r>
              <w:rPr>
                <w:sz w:val="24"/>
              </w:rPr>
              <w:t>++</w:t>
            </w:r>
          </w:p>
        </w:tc>
      </w:tr>
      <w:tr w:rsidR="002C65BC" w:rsidRPr="002C65BC">
        <w:trPr>
          <w:trHeight w:val="360"/>
        </w:trPr>
        <w:tc>
          <w:tcPr>
            <w:tcW w:w="2463" w:type="dxa"/>
            <w:shd w:val="pct20" w:color="auto" w:fill="auto"/>
          </w:tcPr>
          <w:p w:rsidR="002C65BC" w:rsidRPr="002C65BC" w:rsidRDefault="001A5E1F">
            <w:pPr>
              <w:rPr>
                <w:sz w:val="24"/>
              </w:rPr>
            </w:pPr>
            <w:r>
              <w:rPr>
                <w:sz w:val="24"/>
              </w:rPr>
              <w:t>Elberfelder</w:t>
            </w:r>
          </w:p>
        </w:tc>
        <w:tc>
          <w:tcPr>
            <w:tcW w:w="2463" w:type="dxa"/>
          </w:tcPr>
          <w:p w:rsidR="002C65BC" w:rsidRPr="002C65BC" w:rsidRDefault="001A5E1F">
            <w:pPr>
              <w:rPr>
                <w:sz w:val="24"/>
              </w:rPr>
            </w:pPr>
            <w:r>
              <w:rPr>
                <w:sz w:val="24"/>
              </w:rPr>
              <w:t>Überwiegend</w:t>
            </w:r>
          </w:p>
        </w:tc>
        <w:tc>
          <w:tcPr>
            <w:tcW w:w="2463" w:type="dxa"/>
          </w:tcPr>
          <w:p w:rsidR="002C65BC" w:rsidRPr="002C65BC" w:rsidRDefault="001A5E1F">
            <w:pPr>
              <w:rPr>
                <w:sz w:val="24"/>
              </w:rPr>
            </w:pPr>
            <w:r>
              <w:rPr>
                <w:sz w:val="24"/>
              </w:rPr>
              <w:t>Kaum</w:t>
            </w:r>
          </w:p>
        </w:tc>
        <w:tc>
          <w:tcPr>
            <w:tcW w:w="2463" w:type="dxa"/>
          </w:tcPr>
          <w:p w:rsidR="002C65BC" w:rsidRPr="002C65BC" w:rsidRDefault="001A5E1F">
            <w:pPr>
              <w:rPr>
                <w:sz w:val="24"/>
              </w:rPr>
            </w:pPr>
            <w:r>
              <w:rPr>
                <w:sz w:val="24"/>
              </w:rPr>
              <w:t>Sehr stark</w:t>
            </w:r>
          </w:p>
        </w:tc>
        <w:tc>
          <w:tcPr>
            <w:tcW w:w="2464" w:type="dxa"/>
          </w:tcPr>
          <w:p w:rsidR="002C65BC" w:rsidRPr="002C65BC" w:rsidRDefault="001A5E1F">
            <w:pPr>
              <w:rPr>
                <w:sz w:val="24"/>
              </w:rPr>
            </w:pPr>
            <w:r>
              <w:rPr>
                <w:sz w:val="24"/>
              </w:rPr>
              <w:t>Gehobene Sprache</w:t>
            </w:r>
          </w:p>
        </w:tc>
        <w:tc>
          <w:tcPr>
            <w:tcW w:w="2464" w:type="dxa"/>
          </w:tcPr>
          <w:p w:rsidR="002C65BC" w:rsidRPr="002C65BC" w:rsidRDefault="001A5E1F">
            <w:pPr>
              <w:rPr>
                <w:sz w:val="24"/>
              </w:rPr>
            </w:pPr>
            <w:r>
              <w:rPr>
                <w:sz w:val="24"/>
              </w:rPr>
              <w:t>++</w:t>
            </w:r>
          </w:p>
        </w:tc>
      </w:tr>
      <w:tr w:rsidR="002C65BC" w:rsidRPr="002C65BC">
        <w:trPr>
          <w:trHeight w:val="360"/>
        </w:trPr>
        <w:tc>
          <w:tcPr>
            <w:tcW w:w="2463" w:type="dxa"/>
            <w:shd w:val="pct20" w:color="auto" w:fill="auto"/>
          </w:tcPr>
          <w:p w:rsidR="002C65BC" w:rsidRPr="002C65BC" w:rsidRDefault="001A5E1F">
            <w:pPr>
              <w:rPr>
                <w:sz w:val="24"/>
              </w:rPr>
            </w:pPr>
            <w:r>
              <w:rPr>
                <w:sz w:val="24"/>
              </w:rPr>
              <w:t>Gute Nachricht</w:t>
            </w:r>
          </w:p>
        </w:tc>
        <w:tc>
          <w:tcPr>
            <w:tcW w:w="2463" w:type="dxa"/>
          </w:tcPr>
          <w:p w:rsidR="002C65BC" w:rsidRPr="002C65BC" w:rsidRDefault="001A5E1F">
            <w:pPr>
              <w:rPr>
                <w:sz w:val="24"/>
              </w:rPr>
            </w:pPr>
            <w:r>
              <w:rPr>
                <w:sz w:val="24"/>
              </w:rPr>
              <w:t>Kaum</w:t>
            </w:r>
          </w:p>
        </w:tc>
        <w:tc>
          <w:tcPr>
            <w:tcW w:w="2463" w:type="dxa"/>
          </w:tcPr>
          <w:p w:rsidR="002C65BC" w:rsidRPr="002C65BC" w:rsidRDefault="001A5E1F">
            <w:pPr>
              <w:rPr>
                <w:sz w:val="24"/>
              </w:rPr>
            </w:pPr>
            <w:r>
              <w:rPr>
                <w:sz w:val="24"/>
              </w:rPr>
              <w:t>Sehr stark</w:t>
            </w:r>
          </w:p>
        </w:tc>
        <w:tc>
          <w:tcPr>
            <w:tcW w:w="2463" w:type="dxa"/>
          </w:tcPr>
          <w:p w:rsidR="002C65BC" w:rsidRPr="002C65BC" w:rsidRDefault="001A5E1F">
            <w:pPr>
              <w:rPr>
                <w:sz w:val="24"/>
              </w:rPr>
            </w:pPr>
            <w:r>
              <w:rPr>
                <w:sz w:val="24"/>
              </w:rPr>
              <w:t>Wenig</w:t>
            </w:r>
          </w:p>
        </w:tc>
        <w:tc>
          <w:tcPr>
            <w:tcW w:w="2464" w:type="dxa"/>
          </w:tcPr>
          <w:p w:rsidR="002C65BC" w:rsidRPr="002C65BC" w:rsidRDefault="001A5E1F">
            <w:pPr>
              <w:rPr>
                <w:sz w:val="24"/>
              </w:rPr>
            </w:pPr>
            <w:r>
              <w:rPr>
                <w:sz w:val="24"/>
              </w:rPr>
              <w:t>Alltagssprache</w:t>
            </w:r>
          </w:p>
        </w:tc>
        <w:tc>
          <w:tcPr>
            <w:tcW w:w="2464" w:type="dxa"/>
          </w:tcPr>
          <w:p w:rsidR="002C65BC" w:rsidRPr="002C65BC" w:rsidRDefault="001A5E1F">
            <w:pPr>
              <w:rPr>
                <w:sz w:val="24"/>
              </w:rPr>
            </w:pPr>
            <w:r>
              <w:rPr>
                <w:sz w:val="24"/>
              </w:rPr>
              <w:t>+++</w:t>
            </w:r>
          </w:p>
        </w:tc>
      </w:tr>
      <w:tr w:rsidR="001A5E1F" w:rsidRPr="002C65BC">
        <w:trPr>
          <w:trHeight w:val="346"/>
        </w:trPr>
        <w:tc>
          <w:tcPr>
            <w:tcW w:w="2463" w:type="dxa"/>
            <w:shd w:val="pct20" w:color="auto" w:fill="auto"/>
          </w:tcPr>
          <w:p w:rsidR="001A5E1F" w:rsidRPr="002C65BC" w:rsidRDefault="001A5E1F">
            <w:pPr>
              <w:rPr>
                <w:sz w:val="24"/>
              </w:rPr>
            </w:pPr>
            <w:r>
              <w:rPr>
                <w:sz w:val="24"/>
              </w:rPr>
              <w:t>Hoffnung für Alle</w:t>
            </w:r>
          </w:p>
        </w:tc>
        <w:tc>
          <w:tcPr>
            <w:tcW w:w="2463" w:type="dxa"/>
          </w:tcPr>
          <w:p w:rsidR="001A5E1F" w:rsidRPr="002C65BC" w:rsidRDefault="001A5E1F" w:rsidP="00AA41BD">
            <w:pPr>
              <w:rPr>
                <w:sz w:val="24"/>
              </w:rPr>
            </w:pPr>
            <w:r>
              <w:rPr>
                <w:sz w:val="24"/>
              </w:rPr>
              <w:t>Kaum</w:t>
            </w:r>
          </w:p>
        </w:tc>
        <w:tc>
          <w:tcPr>
            <w:tcW w:w="2463" w:type="dxa"/>
          </w:tcPr>
          <w:p w:rsidR="001A5E1F" w:rsidRPr="002C65BC" w:rsidRDefault="001A5E1F" w:rsidP="00AA41BD">
            <w:pPr>
              <w:rPr>
                <w:sz w:val="24"/>
              </w:rPr>
            </w:pPr>
            <w:r>
              <w:rPr>
                <w:sz w:val="24"/>
              </w:rPr>
              <w:t>Sehr stark</w:t>
            </w:r>
          </w:p>
        </w:tc>
        <w:tc>
          <w:tcPr>
            <w:tcW w:w="2463" w:type="dxa"/>
          </w:tcPr>
          <w:p w:rsidR="001A5E1F" w:rsidRPr="002C65BC" w:rsidRDefault="001A5E1F" w:rsidP="00AA41BD">
            <w:pPr>
              <w:rPr>
                <w:sz w:val="24"/>
              </w:rPr>
            </w:pPr>
            <w:r>
              <w:rPr>
                <w:sz w:val="24"/>
              </w:rPr>
              <w:t>Wenig</w:t>
            </w:r>
          </w:p>
        </w:tc>
        <w:tc>
          <w:tcPr>
            <w:tcW w:w="2464" w:type="dxa"/>
          </w:tcPr>
          <w:p w:rsidR="001A5E1F" w:rsidRPr="002C65BC" w:rsidRDefault="001A5E1F" w:rsidP="00AA41BD">
            <w:pPr>
              <w:rPr>
                <w:sz w:val="24"/>
              </w:rPr>
            </w:pPr>
            <w:r>
              <w:rPr>
                <w:sz w:val="24"/>
              </w:rPr>
              <w:t>Alltagssprache</w:t>
            </w:r>
          </w:p>
        </w:tc>
        <w:tc>
          <w:tcPr>
            <w:tcW w:w="2464" w:type="dxa"/>
          </w:tcPr>
          <w:p w:rsidR="001A5E1F" w:rsidRPr="002C65BC" w:rsidRDefault="001A5E1F" w:rsidP="00AA41BD">
            <w:pPr>
              <w:rPr>
                <w:sz w:val="24"/>
              </w:rPr>
            </w:pPr>
            <w:r>
              <w:rPr>
                <w:sz w:val="24"/>
              </w:rPr>
              <w:t>+++</w:t>
            </w:r>
          </w:p>
        </w:tc>
      </w:tr>
      <w:tr w:rsidR="001A5E1F" w:rsidRPr="002C65BC">
        <w:trPr>
          <w:trHeight w:val="360"/>
        </w:trPr>
        <w:tc>
          <w:tcPr>
            <w:tcW w:w="2463" w:type="dxa"/>
            <w:shd w:val="pct20" w:color="auto" w:fill="auto"/>
          </w:tcPr>
          <w:p w:rsidR="001A5E1F" w:rsidRDefault="001A5E1F">
            <w:pPr>
              <w:rPr>
                <w:sz w:val="24"/>
              </w:rPr>
            </w:pPr>
            <w:r>
              <w:rPr>
                <w:sz w:val="24"/>
              </w:rPr>
              <w:t>Basisbibel</w:t>
            </w:r>
          </w:p>
        </w:tc>
        <w:tc>
          <w:tcPr>
            <w:tcW w:w="2463" w:type="dxa"/>
          </w:tcPr>
          <w:p w:rsidR="001A5E1F" w:rsidRPr="002C65BC" w:rsidRDefault="001A5E1F" w:rsidP="00AA41BD">
            <w:pPr>
              <w:rPr>
                <w:sz w:val="24"/>
              </w:rPr>
            </w:pPr>
            <w:r>
              <w:rPr>
                <w:sz w:val="24"/>
              </w:rPr>
              <w:t>Kaum</w:t>
            </w:r>
          </w:p>
        </w:tc>
        <w:tc>
          <w:tcPr>
            <w:tcW w:w="2463" w:type="dxa"/>
          </w:tcPr>
          <w:p w:rsidR="001A5E1F" w:rsidRPr="002C65BC" w:rsidRDefault="001A5E1F" w:rsidP="00AA41BD">
            <w:pPr>
              <w:rPr>
                <w:sz w:val="24"/>
              </w:rPr>
            </w:pPr>
            <w:r>
              <w:rPr>
                <w:sz w:val="24"/>
              </w:rPr>
              <w:t>Sehr stark</w:t>
            </w:r>
          </w:p>
        </w:tc>
        <w:tc>
          <w:tcPr>
            <w:tcW w:w="2463" w:type="dxa"/>
          </w:tcPr>
          <w:p w:rsidR="001A5E1F" w:rsidRPr="002C65BC" w:rsidRDefault="001A5E1F" w:rsidP="00AA41BD">
            <w:pPr>
              <w:rPr>
                <w:sz w:val="24"/>
              </w:rPr>
            </w:pPr>
            <w:r>
              <w:rPr>
                <w:sz w:val="24"/>
              </w:rPr>
              <w:t>Wenig</w:t>
            </w:r>
          </w:p>
        </w:tc>
        <w:tc>
          <w:tcPr>
            <w:tcW w:w="2464" w:type="dxa"/>
          </w:tcPr>
          <w:p w:rsidR="001A5E1F" w:rsidRPr="002C65BC" w:rsidRDefault="001A5E1F" w:rsidP="00AA41BD">
            <w:pPr>
              <w:rPr>
                <w:sz w:val="24"/>
              </w:rPr>
            </w:pPr>
            <w:r>
              <w:rPr>
                <w:sz w:val="24"/>
              </w:rPr>
              <w:t>Alltagssprache</w:t>
            </w:r>
          </w:p>
        </w:tc>
        <w:tc>
          <w:tcPr>
            <w:tcW w:w="2464" w:type="dxa"/>
          </w:tcPr>
          <w:p w:rsidR="001A5E1F" w:rsidRPr="002C65BC" w:rsidRDefault="001A5E1F" w:rsidP="00AA41BD">
            <w:pPr>
              <w:rPr>
                <w:sz w:val="24"/>
              </w:rPr>
            </w:pPr>
            <w:r>
              <w:rPr>
                <w:sz w:val="24"/>
              </w:rPr>
              <w:t>+++</w:t>
            </w:r>
          </w:p>
        </w:tc>
      </w:tr>
    </w:tbl>
    <w:p w:rsidR="002C65BC" w:rsidRDefault="002C65BC"/>
    <w:p w:rsidR="001A5E1F" w:rsidRDefault="001A5E1F"/>
    <w:p w:rsidR="001A5E1F" w:rsidRPr="002C65BC" w:rsidRDefault="001A5E1F">
      <w:r>
        <w:t>Das Kriterium „wörtlich“ bezeichnet eine Orientierung der Übersetzung an der Ursprungssprache. „Konkordant“ heißt, dass dieselben Vokabeln in der Ursprache auch jeweils durch dieselben Worte im Deutschen wiedergegeben werden.</w:t>
      </w:r>
    </w:p>
    <w:sectPr w:rsidR="001A5E1F" w:rsidRPr="002C65BC" w:rsidSect="002C65BC">
      <w:pgSz w:w="16820" w:h="11900" w:orient="landscape"/>
      <w:pgMar w:top="1417" w:right="1134"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DE6B8D"/>
    <w:rsid w:val="0001278E"/>
    <w:rsid w:val="001A5E1F"/>
    <w:rsid w:val="002C65BC"/>
    <w:rsid w:val="002D1820"/>
    <w:rsid w:val="00405D30"/>
    <w:rsid w:val="00493142"/>
    <w:rsid w:val="00687012"/>
    <w:rsid w:val="00710749"/>
    <w:rsid w:val="007228B1"/>
    <w:rsid w:val="00926BAC"/>
    <w:rsid w:val="00D2116B"/>
    <w:rsid w:val="00DE6B8D"/>
    <w:rsid w:val="00EA38F7"/>
  </w:rsids>
  <m:mathPr>
    <m:mathFont m:val="Impact"/>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0275"/>
    <w:pPr>
      <w:spacing w:line="340" w:lineRule="exact"/>
    </w:pPr>
    <w:rPr>
      <w:sz w:val="28"/>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D2116B"/>
  </w:style>
  <w:style w:type="character" w:customStyle="1" w:styleId="GesichteterHyperlink">
    <w:name w:val="GesichteterHyperlink"/>
    <w:basedOn w:val="Absatz-Standardschriftart"/>
    <w:rsid w:val="00C55CFF"/>
    <w:rPr>
      <w:color w:val="606420"/>
      <w:u w:val="single"/>
    </w:rPr>
  </w:style>
  <w:style w:type="table" w:styleId="Tabellenraster">
    <w:name w:val="Table Grid"/>
    <w:basedOn w:val="NormaleTabelle"/>
    <w:uiPriority w:val="59"/>
    <w:rsid w:val="002C6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0275"/>
    <w:pPr>
      <w:spacing w:line="340" w:lineRule="exact"/>
    </w:pPr>
    <w:rPr>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character" w:customStyle="1" w:styleId="GesichteterHyperlink">
    <w:name w:val="GesichteterHyperlink"/>
    <w:basedOn w:val="Absatz-Standardschriftart"/>
    <w:rsid w:val="00C55CFF"/>
    <w:rPr>
      <w:color w:val="606420"/>
      <w:u w:val="single"/>
    </w:rPr>
  </w:style>
  <w:style w:type="table" w:styleId="Tabellenraster">
    <w:name w:val="Table Grid"/>
    <w:basedOn w:val="NormaleTabelle"/>
    <w:uiPriority w:val="59"/>
    <w:rsid w:val="002C6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2820</Characters>
  <Application>Microsoft Macintosh Word</Application>
  <DocSecurity>0</DocSecurity>
  <Lines>23</Lines>
  <Paragraphs>5</Paragraphs>
  <ScaleCrop>false</ScaleCrop>
  <Company>Lutherische Theologische Hochschule</Company>
  <LinksUpToDate>false</LinksUpToDate>
  <CharactersWithSpaces>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Achim Behrens</dc:creator>
  <cp:keywords/>
  <dc:description/>
  <cp:lastModifiedBy>  textworx</cp:lastModifiedBy>
  <cp:revision>2</cp:revision>
  <dcterms:created xsi:type="dcterms:W3CDTF">2013-03-12T15:09:00Z</dcterms:created>
  <dcterms:modified xsi:type="dcterms:W3CDTF">2013-03-12T15:09:00Z</dcterms:modified>
</cp:coreProperties>
</file>